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D60A82" w:rsidRPr="00D60A82">
        <w:rPr>
          <w:iCs/>
          <w:sz w:val="24"/>
          <w:szCs w:val="24"/>
          <w:lang w:eastAsia="zh-CN"/>
        </w:rPr>
        <w:t>263220901107922090100101610014339244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D60A82" w:rsidRDefault="00A00016" w:rsidP="000F1313">
      <w:pPr>
        <w:numPr>
          <w:ilvl w:val="1"/>
          <w:numId w:val="11"/>
        </w:numPr>
        <w:spacing w:line="240" w:lineRule="auto"/>
        <w:ind w:left="0" w:firstLine="709"/>
        <w:rPr>
          <w:sz w:val="24"/>
          <w:szCs w:val="24"/>
        </w:rPr>
      </w:pPr>
      <w:r w:rsidRPr="00D60A82">
        <w:rPr>
          <w:sz w:val="24"/>
          <w:szCs w:val="24"/>
        </w:rPr>
        <w:t>Подрядчик обязуется собственными и (или) привлеченными</w:t>
      </w:r>
      <w:r w:rsidRPr="00D60A82">
        <w:rPr>
          <w:i/>
          <w:sz w:val="24"/>
          <w:szCs w:val="24"/>
        </w:rPr>
        <w:t xml:space="preserve"> </w:t>
      </w:r>
      <w:r w:rsidRPr="00D60A82">
        <w:rPr>
          <w:sz w:val="24"/>
          <w:szCs w:val="24"/>
        </w:rPr>
        <w:t xml:space="preserve">силами своевременно </w:t>
      </w:r>
      <w:r w:rsidR="008A2C27" w:rsidRPr="00D60A82">
        <w:rPr>
          <w:sz w:val="24"/>
          <w:szCs w:val="24"/>
        </w:rPr>
        <w:t xml:space="preserve">выполнить </w:t>
      </w:r>
      <w:r w:rsidR="00522073" w:rsidRPr="00D60A82">
        <w:rPr>
          <w:sz w:val="24"/>
          <w:szCs w:val="24"/>
        </w:rPr>
        <w:t xml:space="preserve">работы </w:t>
      </w:r>
      <w:r w:rsidR="00FD09B5" w:rsidRPr="00D60A82">
        <w:rPr>
          <w:sz w:val="24"/>
          <w:szCs w:val="24"/>
        </w:rPr>
        <w:t>по текущему ремо</w:t>
      </w:r>
      <w:r w:rsidR="00915FDC" w:rsidRPr="00D60A82">
        <w:rPr>
          <w:sz w:val="24"/>
          <w:szCs w:val="24"/>
        </w:rPr>
        <w:t xml:space="preserve">нту </w:t>
      </w:r>
      <w:r w:rsidR="00D60A82" w:rsidRPr="00D60A82">
        <w:rPr>
          <w:sz w:val="24"/>
          <w:szCs w:val="24"/>
        </w:rPr>
        <w:t xml:space="preserve">муниципального помещения </w:t>
      </w:r>
      <w:r w:rsidR="00D60A82">
        <w:rPr>
          <w:sz w:val="24"/>
          <w:szCs w:val="24"/>
        </w:rPr>
        <w:t xml:space="preserve">                    </w:t>
      </w:r>
      <w:r w:rsidR="00D60A82" w:rsidRPr="00D60A82">
        <w:rPr>
          <w:sz w:val="24"/>
          <w:szCs w:val="24"/>
        </w:rPr>
        <w:t>№ 113 по ул. Федоренко, 6 в городе Рубцовске</w:t>
      </w:r>
      <w:r w:rsidR="00FD09B5" w:rsidRPr="00D60A82">
        <w:rPr>
          <w:sz w:val="24"/>
          <w:szCs w:val="24"/>
        </w:rPr>
        <w:t xml:space="preserve"> </w:t>
      </w:r>
      <w:r w:rsidRPr="00D60A82">
        <w:rPr>
          <w:sz w:val="24"/>
          <w:szCs w:val="24"/>
        </w:rPr>
        <w:t>(далее – «работа») и сдать ее результат Заказчику, а Заказчик обязуется принять результат работы и оплатить его.</w:t>
      </w:r>
    </w:p>
    <w:p w:rsidR="00A00016" w:rsidRPr="00B92916"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B92916" w:rsidRDefault="00B92916" w:rsidP="00B92916">
      <w:pPr>
        <w:spacing w:line="240" w:lineRule="auto"/>
        <w:ind w:left="709" w:hanging="709"/>
        <w:rPr>
          <w:iCs/>
          <w:sz w:val="24"/>
          <w:szCs w:val="24"/>
        </w:rP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3118"/>
        <w:gridCol w:w="1418"/>
        <w:gridCol w:w="866"/>
      </w:tblGrid>
      <w:tr w:rsidR="00B92916" w:rsidRPr="00B92916" w:rsidTr="00B92916">
        <w:tc>
          <w:tcPr>
            <w:tcW w:w="56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 п/п</w:t>
            </w:r>
          </w:p>
        </w:tc>
        <w:tc>
          <w:tcPr>
            <w:tcW w:w="3402"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Наименование товара, работы, услуги</w:t>
            </w:r>
          </w:p>
        </w:tc>
        <w:tc>
          <w:tcPr>
            <w:tcW w:w="31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Код в соответствии с ОКПД 2</w:t>
            </w:r>
          </w:p>
        </w:tc>
        <w:tc>
          <w:tcPr>
            <w:tcW w:w="14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Единица измерения</w:t>
            </w:r>
          </w:p>
        </w:tc>
        <w:tc>
          <w:tcPr>
            <w:tcW w:w="866"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Количество</w:t>
            </w:r>
          </w:p>
        </w:tc>
      </w:tr>
      <w:tr w:rsidR="00B92916" w:rsidRPr="00B92916" w:rsidTr="00B92916">
        <w:tc>
          <w:tcPr>
            <w:tcW w:w="56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1.</w:t>
            </w:r>
          </w:p>
        </w:tc>
        <w:tc>
          <w:tcPr>
            <w:tcW w:w="3402" w:type="dxa"/>
            <w:tcBorders>
              <w:top w:val="single" w:sz="5" w:space="0" w:color="000000"/>
              <w:left w:val="single" w:sz="5" w:space="0" w:color="000000"/>
              <w:bottom w:val="single" w:sz="5" w:space="0" w:color="000000"/>
              <w:right w:val="single" w:sz="5" w:space="0" w:color="000000"/>
            </w:tcBorders>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color w:val="000000"/>
                <w:spacing w:val="-2"/>
                <w:sz w:val="22"/>
                <w:szCs w:val="22"/>
              </w:rPr>
              <w:t xml:space="preserve">Выполнение работ по текущему ремонту муниципального помещения № 113 по </w:t>
            </w:r>
            <w:r w:rsidR="00912D6F">
              <w:rPr>
                <w:color w:val="000000"/>
                <w:spacing w:val="-2"/>
                <w:sz w:val="22"/>
                <w:szCs w:val="22"/>
              </w:rPr>
              <w:t xml:space="preserve">                            </w:t>
            </w:r>
            <w:r w:rsidRPr="00B92916">
              <w:rPr>
                <w:color w:val="000000"/>
                <w:spacing w:val="-2"/>
                <w:sz w:val="22"/>
                <w:szCs w:val="22"/>
              </w:rPr>
              <w:t>ул. Федоренко, 6 в городе Рубцовске</w:t>
            </w:r>
            <w:r w:rsidRPr="00B92916">
              <w:rPr>
                <w:color w:val="000000"/>
                <w:spacing w:val="-2"/>
                <w:sz w:val="22"/>
                <w:szCs w:val="22"/>
              </w:rPr>
              <w:tab/>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color w:val="000000"/>
                <w:spacing w:val="-2"/>
                <w:sz w:val="22"/>
                <w:szCs w:val="22"/>
              </w:rPr>
              <w:t>43.39.19.190 Работы завершающие и отделочные в зданиях и сооружениях, прочие, не включенные в другие группировки</w:t>
            </w:r>
          </w:p>
        </w:tc>
        <w:tc>
          <w:tcPr>
            <w:tcW w:w="1418"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Условная единица</w:t>
            </w:r>
          </w:p>
        </w:tc>
        <w:tc>
          <w:tcPr>
            <w:tcW w:w="866" w:type="dxa"/>
            <w:shd w:val="clear" w:color="auto" w:fill="auto"/>
          </w:tcPr>
          <w:p w:rsidR="00B92916" w:rsidRPr="00B92916" w:rsidRDefault="00B92916" w:rsidP="00B92916">
            <w:pPr>
              <w:keepNext/>
              <w:spacing w:line="240" w:lineRule="auto"/>
              <w:ind w:firstLine="0"/>
              <w:contextualSpacing/>
              <w:jc w:val="center"/>
              <w:rPr>
                <w:bCs/>
                <w:sz w:val="22"/>
                <w:szCs w:val="22"/>
              </w:rPr>
            </w:pPr>
            <w:r w:rsidRPr="00B92916">
              <w:rPr>
                <w:bCs/>
                <w:sz w:val="22"/>
                <w:szCs w:val="22"/>
              </w:rPr>
              <w:t>1</w:t>
            </w:r>
          </w:p>
        </w:tc>
      </w:tr>
    </w:tbl>
    <w:p w:rsidR="00B92916" w:rsidRPr="00B92916" w:rsidRDefault="00B92916" w:rsidP="00B92916">
      <w:pPr>
        <w:spacing w:line="240" w:lineRule="auto"/>
        <w:ind w:left="709" w:hanging="709"/>
        <w:rPr>
          <w:iCs/>
          <w:sz w:val="24"/>
          <w:szCs w:val="24"/>
        </w:rPr>
      </w:pP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FD09B5">
        <w:rPr>
          <w:sz w:val="24"/>
          <w:szCs w:val="24"/>
        </w:rPr>
        <w:t xml:space="preserve">ул. </w:t>
      </w:r>
      <w:r w:rsidR="00D60A82">
        <w:rPr>
          <w:sz w:val="24"/>
          <w:szCs w:val="24"/>
        </w:rPr>
        <w:t>Федоренко</w:t>
      </w:r>
      <w:r w:rsidR="00FD09B5">
        <w:rPr>
          <w:sz w:val="24"/>
          <w:szCs w:val="24"/>
        </w:rPr>
        <w:t xml:space="preserve">, </w:t>
      </w:r>
      <w:r w:rsidR="00D60A82" w:rsidRPr="00D60A82">
        <w:rPr>
          <w:sz w:val="24"/>
          <w:szCs w:val="24"/>
        </w:rPr>
        <w:t xml:space="preserve">6-113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w:t>
      </w:r>
      <w:r w:rsidRPr="00112610">
        <w:rPr>
          <w:sz w:val="24"/>
          <w:szCs w:val="24"/>
        </w:rPr>
        <w:lastRenderedPageBreak/>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D60A82" w:rsidRPr="00D60A82">
        <w:rPr>
          <w:iCs/>
          <w:sz w:val="24"/>
          <w:szCs w:val="24"/>
        </w:rPr>
        <w:t xml:space="preserve">30 (тридцати)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Датой поступления Заказчику документа о приемке, подписанного Подрядчиком, считается дата размещения в соответствии с пунктом 5.8. Контракта такого </w:t>
      </w:r>
      <w:r w:rsidRPr="00112610">
        <w:rPr>
          <w:sz w:val="24"/>
          <w:szCs w:val="24"/>
        </w:rPr>
        <w:lastRenderedPageBreak/>
        <w:t>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r w:rsidR="004A3DB7">
        <w:rPr>
          <w:sz w:val="24"/>
          <w:szCs w:val="24"/>
        </w:rPr>
        <w:t>.</w:t>
      </w:r>
      <w:bookmarkStart w:id="0" w:name="_GoBack"/>
      <w:bookmarkEnd w:id="0"/>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w:t>
      </w:r>
      <w:r w:rsidRPr="00112610">
        <w:rPr>
          <w:sz w:val="24"/>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 xml:space="preserve">Банк: </w:t>
      </w:r>
      <w:r w:rsidR="00736D74" w:rsidRPr="00736D74">
        <w:rPr>
          <w:sz w:val="24"/>
        </w:rPr>
        <w:t xml:space="preserve">ОКЦ № 2 </w:t>
      </w:r>
      <w:proofErr w:type="spellStart"/>
      <w:r w:rsidR="00736D74" w:rsidRPr="00736D74">
        <w:rPr>
          <w:sz w:val="24"/>
        </w:rPr>
        <w:t>СибГУ</w:t>
      </w:r>
      <w:proofErr w:type="spellEnd"/>
      <w:r w:rsidR="00736D74" w:rsidRPr="00736D74">
        <w:rPr>
          <w:sz w:val="24"/>
        </w:rPr>
        <w:t xml:space="preserve"> Банка России //УФК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254C77" w:rsidRPr="00254C77" w:rsidRDefault="00254C77" w:rsidP="00254C77">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w:t>
      </w:r>
      <w:r w:rsidRPr="00112610">
        <w:rPr>
          <w:sz w:val="24"/>
          <w:szCs w:val="24"/>
        </w:rPr>
        <w:lastRenderedPageBreak/>
        <w:t xml:space="preserve">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32053C" w:rsidRDefault="0032053C" w:rsidP="0032053C">
      <w:pPr>
        <w:pStyle w:val="afffff"/>
        <w:autoSpaceDE w:val="0"/>
        <w:autoSpaceDN w:val="0"/>
        <w:adjustRightInd w:val="0"/>
        <w:spacing w:line="240" w:lineRule="auto"/>
        <w:ind w:left="927" w:firstLine="0"/>
        <w:rPr>
          <w:sz w:val="24"/>
          <w:szCs w:val="24"/>
        </w:rPr>
      </w:pPr>
    </w:p>
    <w:p w:rsidR="00667755" w:rsidRDefault="00667755" w:rsidP="00667755">
      <w:pPr>
        <w:pStyle w:val="320"/>
        <w:numPr>
          <w:ilvl w:val="0"/>
          <w:numId w:val="47"/>
        </w:numPr>
        <w:tabs>
          <w:tab w:val="left" w:pos="426"/>
        </w:tabs>
        <w:spacing w:before="0" w:after="0" w:line="240" w:lineRule="auto"/>
        <w:ind w:left="0" w:firstLine="425"/>
        <w:jc w:val="center"/>
        <w:rPr>
          <w:rFonts w:ascii="Times New Roman" w:hAnsi="Times New Roman"/>
          <w:sz w:val="24"/>
          <w:szCs w:val="24"/>
        </w:rPr>
      </w:pPr>
      <w:r>
        <w:rPr>
          <w:rFonts w:ascii="Times New Roman" w:hAnsi="Times New Roman"/>
          <w:sz w:val="24"/>
          <w:szCs w:val="24"/>
        </w:rPr>
        <w:lastRenderedPageBreak/>
        <w:t>Антикоррупционная оговорка</w:t>
      </w:r>
    </w:p>
    <w:p w:rsidR="00667755" w:rsidRDefault="00667755" w:rsidP="00667755">
      <w:pPr>
        <w:spacing w:line="240" w:lineRule="auto"/>
        <w:ind w:firstLine="709"/>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667755" w:rsidRDefault="00667755" w:rsidP="00667755">
      <w:pPr>
        <w:spacing w:line="240" w:lineRule="auto"/>
        <w:ind w:firstLine="709"/>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67755" w:rsidRDefault="00667755" w:rsidP="00667755">
      <w:pPr>
        <w:spacing w:line="240" w:lineRule="auto"/>
        <w:ind w:firstLine="709"/>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667755" w:rsidRDefault="00667755" w:rsidP="00667755">
      <w:pPr>
        <w:spacing w:line="240" w:lineRule="auto"/>
        <w:ind w:firstLine="709"/>
      </w:pPr>
      <w:r>
        <w:rPr>
          <w:spacing w:val="-2"/>
          <w:sz w:val="24"/>
          <w:szCs w:val="24"/>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пунктами13. 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667755" w:rsidRDefault="00667755" w:rsidP="00667755">
      <w:pPr>
        <w:spacing w:line="240" w:lineRule="auto"/>
        <w:ind w:firstLine="709"/>
      </w:pPr>
      <w:r>
        <w:rPr>
          <w:spacing w:val="-2"/>
          <w:sz w:val="24"/>
          <w:szCs w:val="24"/>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667755" w:rsidRDefault="00667755" w:rsidP="00667755">
      <w:pPr>
        <w:spacing w:line="240" w:lineRule="auto"/>
        <w:ind w:firstLine="709"/>
      </w:pPr>
      <w:r>
        <w:rPr>
          <w:spacing w:val="-2"/>
          <w:sz w:val="24"/>
          <w:szCs w:val="24"/>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667755" w:rsidRPr="0032053C" w:rsidRDefault="00667755" w:rsidP="0032053C">
      <w:pPr>
        <w:pStyle w:val="afffff"/>
        <w:autoSpaceDE w:val="0"/>
        <w:autoSpaceDN w:val="0"/>
        <w:adjustRightInd w:val="0"/>
        <w:spacing w:line="240" w:lineRule="auto"/>
        <w:ind w:left="927" w:firstLine="0"/>
        <w:rPr>
          <w:sz w:val="24"/>
          <w:szCs w:val="24"/>
        </w:rPr>
      </w:pPr>
    </w:p>
    <w:p w:rsidR="00A00016" w:rsidRPr="00112610" w:rsidRDefault="009B713D" w:rsidP="009B713D">
      <w:pPr>
        <w:keepNext/>
        <w:tabs>
          <w:tab w:val="left" w:pos="426"/>
        </w:tabs>
        <w:suppressAutoHyphens/>
        <w:spacing w:line="240" w:lineRule="auto"/>
        <w:ind w:firstLine="709"/>
        <w:jc w:val="center"/>
        <w:rPr>
          <w:b/>
          <w:bCs/>
          <w:sz w:val="24"/>
          <w:szCs w:val="24"/>
        </w:rPr>
      </w:pPr>
      <w:r>
        <w:rPr>
          <w:b/>
          <w:bCs/>
          <w:sz w:val="24"/>
          <w:szCs w:val="24"/>
        </w:rPr>
        <w:t>14.</w:t>
      </w:r>
      <w:r w:rsidR="00A00016" w:rsidRPr="00112610">
        <w:rPr>
          <w:b/>
          <w:bCs/>
          <w:sz w:val="24"/>
          <w:szCs w:val="24"/>
        </w:rPr>
        <w:t>Прочие условия</w:t>
      </w:r>
    </w:p>
    <w:p w:rsidR="00A00016" w:rsidRPr="009B713D" w:rsidRDefault="00A00016" w:rsidP="009B713D">
      <w:pPr>
        <w:pStyle w:val="afffff"/>
        <w:numPr>
          <w:ilvl w:val="1"/>
          <w:numId w:val="48"/>
        </w:numPr>
        <w:spacing w:line="240" w:lineRule="auto"/>
        <w:ind w:left="0" w:firstLine="709"/>
        <w:rPr>
          <w:spacing w:val="-2"/>
          <w:sz w:val="24"/>
          <w:szCs w:val="24"/>
        </w:rPr>
      </w:pPr>
      <w:r w:rsidRPr="009B713D">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B713D">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B713D">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B713D">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9B713D">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lastRenderedPageBreak/>
        <w:t>Корреспонденция считается доставленной Стороне также в случаях, если:</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B713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9B713D" w:rsidRDefault="00A00016" w:rsidP="009B713D">
      <w:pPr>
        <w:pStyle w:val="afffff"/>
        <w:numPr>
          <w:ilvl w:val="1"/>
          <w:numId w:val="48"/>
        </w:numPr>
        <w:spacing w:line="240" w:lineRule="auto"/>
        <w:ind w:left="0" w:firstLine="709"/>
        <w:rPr>
          <w:rFonts w:eastAsia="Calibri"/>
          <w:iCs/>
          <w:color w:val="000000"/>
          <w:sz w:val="24"/>
          <w:szCs w:val="24"/>
          <w:lang w:eastAsia="en-US"/>
        </w:rPr>
      </w:pPr>
      <w:r w:rsidRPr="009B713D">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B713D">
      <w:pPr>
        <w:numPr>
          <w:ilvl w:val="1"/>
          <w:numId w:val="4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B713D">
      <w:pPr>
        <w:numPr>
          <w:ilvl w:val="1"/>
          <w:numId w:val="4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B713D">
      <w:pPr>
        <w:autoSpaceDE w:val="0"/>
        <w:autoSpaceDN w:val="0"/>
        <w:adjustRightInd w:val="0"/>
        <w:spacing w:line="240" w:lineRule="auto"/>
        <w:ind w:firstLine="709"/>
        <w:rPr>
          <w:color w:val="000000"/>
          <w:sz w:val="24"/>
          <w:szCs w:val="24"/>
        </w:rPr>
      </w:pPr>
      <w:r w:rsidRPr="00112610">
        <w:rPr>
          <w:color w:val="000000"/>
          <w:sz w:val="24"/>
          <w:szCs w:val="24"/>
        </w:rPr>
        <w:t>Техническое задание (Приложение 1);</w:t>
      </w:r>
    </w:p>
    <w:p w:rsidR="00A00016" w:rsidRPr="00112610" w:rsidRDefault="00A00016" w:rsidP="009B713D">
      <w:pPr>
        <w:autoSpaceDE w:val="0"/>
        <w:autoSpaceDN w:val="0"/>
        <w:adjustRightInd w:val="0"/>
        <w:spacing w:line="240" w:lineRule="auto"/>
        <w:ind w:firstLine="709"/>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B713D">
      <w:pPr>
        <w:numPr>
          <w:ilvl w:val="1"/>
          <w:numId w:val="48"/>
        </w:numPr>
        <w:autoSpaceDE w:val="0"/>
        <w:autoSpaceDN w:val="0"/>
        <w:adjustRightInd w:val="0"/>
        <w:spacing w:line="240" w:lineRule="auto"/>
        <w:ind w:left="0" w:firstLine="709"/>
        <w:rPr>
          <w:sz w:val="24"/>
          <w:szCs w:val="24"/>
        </w:rPr>
      </w:pPr>
      <w:r w:rsidRPr="00112610">
        <w:rPr>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9B713D">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E3392A" w:rsidRDefault="00882124" w:rsidP="00882124">
            <w:pPr>
              <w:spacing w:line="240" w:lineRule="auto"/>
              <w:ind w:firstLine="0"/>
              <w:jc w:val="left"/>
              <w:rPr>
                <w:sz w:val="24"/>
              </w:rPr>
            </w:pPr>
            <w:r w:rsidRPr="00112610">
              <w:rPr>
                <w:bCs/>
                <w:sz w:val="24"/>
                <w:szCs w:val="24"/>
              </w:rPr>
              <w:t xml:space="preserve">Банк: </w:t>
            </w:r>
            <w:r w:rsidR="00625E3B" w:rsidRPr="00625E3B">
              <w:rPr>
                <w:sz w:val="24"/>
              </w:rPr>
              <w:t xml:space="preserve">ОКЦ № 2 </w:t>
            </w:r>
            <w:proofErr w:type="spellStart"/>
            <w:r w:rsidR="00625E3B" w:rsidRPr="00625E3B">
              <w:rPr>
                <w:sz w:val="24"/>
              </w:rPr>
              <w:t>СибГУ</w:t>
            </w:r>
            <w:proofErr w:type="spellEnd"/>
            <w:r w:rsidR="00625E3B" w:rsidRPr="00625E3B">
              <w:rPr>
                <w:sz w:val="24"/>
              </w:rPr>
              <w:t xml:space="preserve"> Банка России //</w:t>
            </w:r>
          </w:p>
          <w:p w:rsidR="00625E3B" w:rsidRDefault="00625E3B" w:rsidP="00882124">
            <w:pPr>
              <w:spacing w:line="240" w:lineRule="auto"/>
              <w:ind w:firstLine="0"/>
              <w:jc w:val="left"/>
              <w:rPr>
                <w:bCs/>
                <w:sz w:val="24"/>
                <w:szCs w:val="24"/>
              </w:rPr>
            </w:pPr>
            <w:r w:rsidRPr="00625E3B">
              <w:rPr>
                <w:sz w:val="24"/>
              </w:rPr>
              <w:t>УФК по Алтайскому краю г. Барнаул</w:t>
            </w:r>
            <w:r w:rsidRPr="00625E3B">
              <w:rPr>
                <w:bCs/>
                <w:sz w:val="22"/>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B92916">
      <w:pPr>
        <w:spacing w:line="240" w:lineRule="auto"/>
        <w:ind w:firstLine="0"/>
        <w:jc w:val="center"/>
        <w:rPr>
          <w:rStyle w:val="FontStyle51"/>
          <w:b/>
          <w:sz w:val="24"/>
          <w:szCs w:val="24"/>
        </w:rPr>
      </w:pPr>
      <w:r w:rsidRPr="00112610">
        <w:rPr>
          <w:rStyle w:val="FontStyle51"/>
          <w:sz w:val="24"/>
          <w:szCs w:val="24"/>
        </w:rPr>
        <w:t>Техническое задание</w:t>
      </w:r>
    </w:p>
    <w:p w:rsidR="00E9691F" w:rsidRPr="00B92916" w:rsidRDefault="00B92916" w:rsidP="00B92916">
      <w:pPr>
        <w:spacing w:line="240" w:lineRule="auto"/>
        <w:ind w:firstLine="0"/>
        <w:jc w:val="center"/>
        <w:rPr>
          <w:rStyle w:val="FontStyle51"/>
          <w:sz w:val="24"/>
          <w:szCs w:val="24"/>
        </w:rPr>
      </w:pPr>
      <w:r>
        <w:rPr>
          <w:rStyle w:val="FontStyle51"/>
          <w:b/>
          <w:sz w:val="24"/>
          <w:szCs w:val="24"/>
        </w:rPr>
        <w:t>(</w:t>
      </w:r>
      <w:r w:rsidRPr="00B92916">
        <w:rPr>
          <w:rStyle w:val="FontStyle51"/>
          <w:sz w:val="24"/>
          <w:szCs w:val="24"/>
        </w:rPr>
        <w:t>прилагается отдельным фа</w:t>
      </w:r>
      <w:r>
        <w:rPr>
          <w:rStyle w:val="FontStyle51"/>
          <w:sz w:val="24"/>
          <w:szCs w:val="24"/>
        </w:rPr>
        <w:t>й</w:t>
      </w:r>
      <w:r w:rsidRPr="00B92916">
        <w:rPr>
          <w:rStyle w:val="FontStyle51"/>
          <w:sz w:val="24"/>
          <w:szCs w:val="24"/>
        </w:rPr>
        <w:t>лом)</w:t>
      </w: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B92916" w:rsidP="00064911">
      <w:pPr>
        <w:widowControl w:val="0"/>
        <w:autoSpaceDE w:val="0"/>
        <w:autoSpaceDN w:val="0"/>
        <w:adjustRightInd w:val="0"/>
        <w:spacing w:line="240" w:lineRule="auto"/>
        <w:ind w:right="-1" w:firstLine="0"/>
        <w:jc w:val="center"/>
        <w:rPr>
          <w:iCs/>
          <w:sz w:val="24"/>
          <w:szCs w:val="24"/>
        </w:rPr>
      </w:pPr>
      <w:r w:rsidRPr="00B92916">
        <w:rPr>
          <w:iCs/>
          <w:sz w:val="24"/>
          <w:szCs w:val="24"/>
        </w:rPr>
        <w:t>(прилагается отдельным файлом)</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34343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9B713D">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CB279C"/>
    <w:multiLevelType w:val="multilevel"/>
    <w:tmpl w:val="90BE659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33"/>
  </w:num>
  <w:num w:numId="3">
    <w:abstractNumId w:val="6"/>
  </w:num>
  <w:num w:numId="4">
    <w:abstractNumId w:val="5"/>
  </w:num>
  <w:num w:numId="5">
    <w:abstractNumId w:val="31"/>
  </w:num>
  <w:num w:numId="6">
    <w:abstractNumId w:val="24"/>
  </w:num>
  <w:num w:numId="7">
    <w:abstractNumId w:val="34"/>
  </w:num>
  <w:num w:numId="8">
    <w:abstractNumId w:val="17"/>
  </w:num>
  <w:num w:numId="9">
    <w:abstractNumId w:val="0"/>
  </w:num>
  <w:num w:numId="10">
    <w:abstractNumId w:val="3"/>
  </w:num>
  <w:num w:numId="11">
    <w:abstractNumId w:val="26"/>
  </w:num>
  <w:num w:numId="12">
    <w:abstractNumId w:val="22"/>
  </w:num>
  <w:num w:numId="13">
    <w:abstractNumId w:val="1"/>
  </w:num>
  <w:num w:numId="14">
    <w:abstractNumId w:val="2"/>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10"/>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3"/>
  </w:num>
  <w:num w:numId="45">
    <w:abstractNumId w:val="18"/>
  </w:num>
  <w:num w:numId="46">
    <w:abstractNumId w:val="16"/>
  </w:num>
  <w:num w:numId="47">
    <w:abstractNumId w:val="7"/>
  </w:num>
  <w:num w:numId="4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8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1D29"/>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343E"/>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3DB7"/>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6775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2D6F"/>
    <w:rsid w:val="00913540"/>
    <w:rsid w:val="009138BF"/>
    <w:rsid w:val="00913932"/>
    <w:rsid w:val="00915FDC"/>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B713D"/>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2916"/>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0A82"/>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392A"/>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09B5"/>
    <w:rsid w:val="00FD2281"/>
    <w:rsid w:val="00FD2AA3"/>
    <w:rsid w:val="00FD33AF"/>
    <w:rsid w:val="00FD5158"/>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oNotEmbedSmartTags/>
  <w:decimalSymbol w:val=","/>
  <w:listSeparator w:val=";"/>
  <w14:docId w14:val="4B61340A"/>
  <w15:docId w15:val="{8F8CAAD3-8C37-4FA7-93B3-EEEF216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 w:type="paragraph" w:customStyle="1" w:styleId="320">
    <w:name w:val="Заголовок 32"/>
    <w:basedOn w:val="a2"/>
    <w:next w:val="a2"/>
    <w:qFormat/>
    <w:rsid w:val="00667755"/>
    <w:pPr>
      <w:keepNext/>
      <w:spacing w:before="120" w:after="120"/>
      <w:ind w:firstLine="0"/>
      <w:outlineLvl w:val="2"/>
    </w:pPr>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78FD-45DA-4263-B4D2-EB814CAC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15</Pages>
  <Words>7111</Words>
  <Characters>40535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47551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115</cp:revision>
  <cp:lastPrinted>2024-02-16T04:30:00Z</cp:lastPrinted>
  <dcterms:created xsi:type="dcterms:W3CDTF">2022-01-25T06:50:00Z</dcterms:created>
  <dcterms:modified xsi:type="dcterms:W3CDTF">2026-06-29T04:04:00Z</dcterms:modified>
</cp:coreProperties>
</file>