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F2" w:rsidRPr="007B53F2" w:rsidRDefault="007B53F2" w:rsidP="007B53F2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7B53F2">
        <w:rPr>
          <w:rFonts w:eastAsia="Calibri"/>
          <w:b/>
          <w:sz w:val="26"/>
          <w:szCs w:val="26"/>
          <w:lang w:eastAsia="en-US"/>
        </w:rPr>
        <w:t>Отчет о реализации муниципальной программы</w:t>
      </w:r>
    </w:p>
    <w:p w:rsidR="007B53F2" w:rsidRPr="007B53F2" w:rsidRDefault="007B53F2" w:rsidP="007B53F2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7B53F2">
        <w:rPr>
          <w:rFonts w:eastAsia="Calibri"/>
          <w:b/>
          <w:sz w:val="26"/>
          <w:szCs w:val="26"/>
          <w:lang w:eastAsia="en-US"/>
        </w:rPr>
        <w:t xml:space="preserve"> «Развитие культуры города Рубцовска» на 2021-2025 годы</w:t>
      </w:r>
    </w:p>
    <w:p w:rsidR="007B53F2" w:rsidRPr="007B53F2" w:rsidRDefault="007B53F2" w:rsidP="007B53F2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7B53F2">
        <w:rPr>
          <w:rFonts w:eastAsia="Calibri"/>
          <w:b/>
          <w:sz w:val="26"/>
          <w:szCs w:val="26"/>
          <w:lang w:eastAsia="en-US"/>
        </w:rPr>
        <w:t>за 2021 год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Муниципальная программа «Развитие культуры города Рубцовска» на 2021-2025 годы (далее – Программа) была утверждена постановлением Администрации города Рубцовска Алтайского края от 24.08.2020 № 2053.</w:t>
      </w:r>
    </w:p>
    <w:p w:rsidR="007B53F2" w:rsidRPr="007B53F2" w:rsidRDefault="007B53F2" w:rsidP="007B53F2">
      <w:pPr>
        <w:ind w:firstLine="709"/>
        <w:jc w:val="both"/>
        <w:rPr>
          <w:rFonts w:eastAsia="Calibri"/>
          <w:spacing w:val="1"/>
          <w:sz w:val="26"/>
          <w:szCs w:val="26"/>
          <w:shd w:val="clear" w:color="auto" w:fill="FFFFFF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В соответствии с постановлениями Администрации города Рубцовска Алтайского края  от 04.06.2021 № 1440; от 22.07.2021 № 1975; от 27.12.2021 № 3648 в Программу были внесены изменения, касающиеся объемов и источников финансирования. Изменения были связаны</w:t>
      </w:r>
      <w:r w:rsidRPr="007B53F2">
        <w:rPr>
          <w:rFonts w:eastAsia="Calibri"/>
          <w:spacing w:val="1"/>
          <w:sz w:val="26"/>
          <w:szCs w:val="26"/>
          <w:shd w:val="clear" w:color="auto" w:fill="FFFFFF"/>
          <w:lang w:eastAsia="en-US"/>
        </w:rPr>
        <w:t xml:space="preserve"> с выделением дополнительного финансирования</w:t>
      </w:r>
      <w:r w:rsidRPr="007B53F2">
        <w:rPr>
          <w:rFonts w:eastAsia="Calibri"/>
          <w:sz w:val="26"/>
          <w:szCs w:val="26"/>
          <w:lang w:eastAsia="en-US"/>
        </w:rPr>
        <w:t>.</w:t>
      </w:r>
    </w:p>
    <w:p w:rsidR="007B53F2" w:rsidRPr="007B53F2" w:rsidRDefault="007B53F2" w:rsidP="007B53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3F2">
        <w:rPr>
          <w:sz w:val="26"/>
          <w:szCs w:val="26"/>
        </w:rPr>
        <w:t xml:space="preserve">Цель Программы: </w:t>
      </w:r>
    </w:p>
    <w:p w:rsidR="007B53F2" w:rsidRPr="007B53F2" w:rsidRDefault="007B53F2" w:rsidP="007B53F2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7B53F2">
        <w:rPr>
          <w:rFonts w:cs="Arial"/>
          <w:sz w:val="26"/>
          <w:szCs w:val="26"/>
        </w:rPr>
        <w:t>Развитие культуры и искусства, сохранение культурного и исторического наследия, расширение доступа населения города к культурным ценностям.</w:t>
      </w:r>
    </w:p>
    <w:p w:rsidR="007B53F2" w:rsidRPr="007B53F2" w:rsidRDefault="007B53F2" w:rsidP="007B53F2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7B53F2">
        <w:rPr>
          <w:rFonts w:cs="Arial"/>
          <w:sz w:val="26"/>
          <w:szCs w:val="26"/>
        </w:rPr>
        <w:t>Задачи Программы:</w:t>
      </w:r>
    </w:p>
    <w:p w:rsidR="007B53F2" w:rsidRPr="007B53F2" w:rsidRDefault="007B53F2" w:rsidP="007B53F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культуры;</w:t>
      </w:r>
    </w:p>
    <w:p w:rsidR="007B53F2" w:rsidRPr="007B53F2" w:rsidRDefault="007B53F2" w:rsidP="007B53F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развитие системы дополнительного образования в области культуры и искусства;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расширение доступности услуг культурно-досуговых учреждений, поддержка народного творчества и искусства;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обеспечение предоставления услуг парков и базы отдыха;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повышение доступности и качества музейных услуг и работ;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повышение доступности и качества услуг и работ в сфере библиотечного дела;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создание условий для сохранения и развития исполнительских искусств и поддержки театрального дела;</w:t>
      </w:r>
    </w:p>
    <w:p w:rsidR="007B53F2" w:rsidRPr="007B53F2" w:rsidRDefault="007B53F2" w:rsidP="007B53F2">
      <w:pPr>
        <w:ind w:firstLine="709"/>
        <w:jc w:val="both"/>
        <w:rPr>
          <w:rFonts w:eastAsia="Calibri"/>
          <w:spacing w:val="1"/>
          <w:sz w:val="26"/>
          <w:szCs w:val="26"/>
          <w:shd w:val="clear" w:color="auto" w:fill="FFFFFF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 xml:space="preserve">привлечение </w:t>
      </w:r>
      <w:r w:rsidRPr="007B53F2">
        <w:rPr>
          <w:rFonts w:eastAsia="Calibri"/>
          <w:spacing w:val="1"/>
          <w:sz w:val="26"/>
          <w:szCs w:val="26"/>
          <w:shd w:val="clear" w:color="auto" w:fill="FFFFFF"/>
          <w:lang w:eastAsia="en-US"/>
        </w:rPr>
        <w:t>социально ориентированных некоммерческих организаций</w:t>
      </w:r>
      <w:r w:rsidRPr="007B53F2">
        <w:rPr>
          <w:rFonts w:eastAsia="Calibri"/>
          <w:sz w:val="26"/>
          <w:szCs w:val="26"/>
          <w:lang w:eastAsia="en-US"/>
        </w:rPr>
        <w:t xml:space="preserve"> к совместному оказанию муниципальных услуг, </w:t>
      </w:r>
      <w:r w:rsidRPr="007B53F2">
        <w:rPr>
          <w:rFonts w:eastAsia="Calibri"/>
          <w:spacing w:val="1"/>
          <w:sz w:val="26"/>
          <w:szCs w:val="26"/>
          <w:shd w:val="clear" w:color="auto" w:fill="FFFFFF"/>
          <w:lang w:eastAsia="en-US"/>
        </w:rPr>
        <w:t xml:space="preserve">оказание поддержки социально </w:t>
      </w:r>
      <w:proofErr w:type="gramStart"/>
      <w:r w:rsidRPr="007B53F2">
        <w:rPr>
          <w:rFonts w:eastAsia="Calibri"/>
          <w:spacing w:val="1"/>
          <w:sz w:val="26"/>
          <w:szCs w:val="26"/>
          <w:shd w:val="clear" w:color="auto" w:fill="FFFFFF"/>
          <w:lang w:eastAsia="en-US"/>
        </w:rPr>
        <w:t>ориентированным</w:t>
      </w:r>
      <w:proofErr w:type="gramEnd"/>
      <w:r w:rsidRPr="007B53F2">
        <w:rPr>
          <w:rFonts w:eastAsia="Calibri"/>
          <w:spacing w:val="1"/>
          <w:sz w:val="26"/>
          <w:szCs w:val="26"/>
          <w:shd w:val="clear" w:color="auto" w:fill="FFFFFF"/>
          <w:lang w:eastAsia="en-US"/>
        </w:rPr>
        <w:t xml:space="preserve"> некоммерческим организациям;</w:t>
      </w:r>
    </w:p>
    <w:p w:rsidR="007B53F2" w:rsidRPr="007B53F2" w:rsidRDefault="007B53F2" w:rsidP="007B53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3F2">
        <w:rPr>
          <w:rFonts w:cs="Arial"/>
          <w:spacing w:val="1"/>
          <w:sz w:val="26"/>
          <w:szCs w:val="26"/>
          <w:shd w:val="clear" w:color="auto" w:fill="FFFFFF"/>
        </w:rPr>
        <w:t>развитие народных художественных промыслов и ремесел.</w:t>
      </w:r>
    </w:p>
    <w:p w:rsidR="007B53F2" w:rsidRPr="007B53F2" w:rsidRDefault="007B53F2" w:rsidP="007B53F2">
      <w:pPr>
        <w:ind w:right="-143" w:firstLine="709"/>
        <w:outlineLvl w:val="0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Общий объем финансирования, запланированный в 2021 году по Программе, составил   217 112,0 тыс. рублей, в том числе:</w:t>
      </w:r>
    </w:p>
    <w:p w:rsidR="007B53F2" w:rsidRPr="007B53F2" w:rsidRDefault="007B53F2" w:rsidP="007B53F2">
      <w:pPr>
        <w:ind w:right="-143" w:firstLine="709"/>
        <w:outlineLvl w:val="0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федеральный бюджет – 10 819,2 тыс. руб.;</w:t>
      </w:r>
    </w:p>
    <w:p w:rsidR="007B53F2" w:rsidRPr="007B53F2" w:rsidRDefault="007B53F2" w:rsidP="007B53F2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краевой бюджет   – 109,3 тыс. руб.</w:t>
      </w:r>
    </w:p>
    <w:p w:rsidR="007B53F2" w:rsidRPr="007B53F2" w:rsidRDefault="007B53F2" w:rsidP="007B53F2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бюджет города – 175 027,7 тыс. руб.</w:t>
      </w:r>
    </w:p>
    <w:p w:rsidR="007B53F2" w:rsidRPr="007B53F2" w:rsidRDefault="007B53F2" w:rsidP="007B53F2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внебюджетные средства учреждений культуры города Рубцовска – 31 155,8 тыс. руб.</w:t>
      </w:r>
    </w:p>
    <w:p w:rsidR="007B53F2" w:rsidRPr="007B53F2" w:rsidRDefault="007B53F2" w:rsidP="007B53F2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Фактически профинансировано  –  211 932,4 тыс. руб., в том числе:</w:t>
      </w:r>
    </w:p>
    <w:p w:rsidR="007B53F2" w:rsidRPr="007B53F2" w:rsidRDefault="007B53F2" w:rsidP="007B53F2">
      <w:pPr>
        <w:ind w:right="-143" w:firstLine="709"/>
        <w:outlineLvl w:val="0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федеральный бюджет – 10 819,2 тыс. руб.;</w:t>
      </w:r>
    </w:p>
    <w:p w:rsidR="007B53F2" w:rsidRPr="007B53F2" w:rsidRDefault="007B53F2" w:rsidP="007B53F2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краевой бюджет  – 109,3 тыс. руб.</w:t>
      </w:r>
    </w:p>
    <w:p w:rsidR="007B53F2" w:rsidRPr="007B53F2" w:rsidRDefault="007B53F2" w:rsidP="007B53F2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бюджет города – 174 527,1 тыс. руб.</w:t>
      </w:r>
    </w:p>
    <w:p w:rsidR="007B53F2" w:rsidRPr="007B53F2" w:rsidRDefault="007B53F2" w:rsidP="007B53F2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внебюджетные средства учреждений культуры города Рубцовска – 26476,8 тыс. руб.</w:t>
      </w:r>
    </w:p>
    <w:p w:rsidR="007B53F2" w:rsidRPr="007B53F2" w:rsidRDefault="007B53F2" w:rsidP="007B53F2">
      <w:pPr>
        <w:snapToGri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lastRenderedPageBreak/>
        <w:t>Результаты реализации Программы выражаются через качественные и количественные показатели (индикаторы). По итогам 2021 года выполнение по показателям Программы составило: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доля объектов культурного наследия, находящихся в муниципальной собственности, состояние которых является удовлетворительным, в общем количестве объектов культурного наследия, находящихся в муниципальной собственности – 100% (выполнение – 100%);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доля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муниципальных учреждений культуры – 10 % (выполнение – 100%);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 xml:space="preserve">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учреждений культуры – 100% (выполнение – 100%); 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количество платных посещений театрально-концертных мероприятий МБУК «Рубцовский драматический театр» - 9,5 тыс. ед. (выполнение -27,0 %);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 xml:space="preserve"> количество платных посещений театрально-концертных мероприятий МБУК «Театр кукол им. А.К. Брахмана» - 10,8 тыс. ед. (выполнение -106,9 %);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количество платных посещений театрально-концертных мероприятий учреждений культурно-досугового типа – 55, 2 тыс. ед. (выполнение – 47,7 %);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количество участников клубных формирований – 5,13 тыс. чел. (выполнение – 100 %);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количество платных посещений МБУК «КДО «Прометей» - 92,7 тыс. ед. (выполнение – 138,3 %);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 xml:space="preserve">количество посещений учреждений музейного типа - 56,2 тыс. ед. (выполнение – 143,0 %); 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доля представленных (во всех формах) зрителю музейных предметов в общем количестве музейных предметов основного фонда учреждений музейного типа - 25,0 (выполнение – 100  %);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количество посещений муниципальных библиотек – 291,5 тыс. ед. (выполнение – 97,8 %);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количество  детей до 14 лет, пользующихся услугами муниципальных библиотек -16,0 тыс. чел. (выполнение – 86,4 %);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количество обучающихся в учреждениях дополнительного образования в области культуры и искусства - 1186 чел. (выполнение – 101,4 %);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количество участий обучающихся в учреждениях дополнительного образования детей в области культуры и искусства в международных, региональных и краевых конкурсах - 553 ед. (выполнение – 276,5 %);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количество мероприятий, проведенных совместно с социально ориентированными некоммерческими организациями (СОНКО) – 133 ед. (выполнение – 177,3 %)</w:t>
      </w:r>
      <w:bookmarkStart w:id="0" w:name="_GoBack"/>
      <w:bookmarkEnd w:id="0"/>
      <w:r w:rsidRPr="007B53F2">
        <w:rPr>
          <w:rFonts w:eastAsia="Calibri"/>
          <w:sz w:val="26"/>
          <w:szCs w:val="26"/>
          <w:lang w:eastAsia="en-US"/>
        </w:rPr>
        <w:t>;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количество проведенных выставок-ярмарок народных художественных промыслов и ремесел – 10 ед. (выполнение – 100 %);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количество публикаций, направленных на развитие народных промыслов и ремесел – 10 ед. (выполнение – 100%);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количество волонтеров, вовлеченных в программу «Волонтеры культуры» - 50 человек (выполнение – 100%).</w:t>
      </w:r>
    </w:p>
    <w:p w:rsidR="007B53F2" w:rsidRPr="007B53F2" w:rsidRDefault="007B53F2" w:rsidP="007B53F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pacing w:val="3"/>
          <w:sz w:val="26"/>
          <w:szCs w:val="26"/>
        </w:rPr>
      </w:pPr>
      <w:r w:rsidRPr="007B53F2">
        <w:rPr>
          <w:bCs/>
          <w:spacing w:val="3"/>
          <w:sz w:val="26"/>
          <w:szCs w:val="26"/>
        </w:rPr>
        <w:lastRenderedPageBreak/>
        <w:t xml:space="preserve"> Снижение ряда показателей</w:t>
      </w:r>
      <w:r w:rsidRPr="007B53F2">
        <w:rPr>
          <w:bCs/>
          <w:snapToGrid w:val="0"/>
          <w:sz w:val="26"/>
          <w:szCs w:val="26"/>
        </w:rPr>
        <w:t xml:space="preserve"> обусловлено </w:t>
      </w:r>
      <w:r w:rsidRPr="007B53F2">
        <w:rPr>
          <w:bCs/>
          <w:spacing w:val="3"/>
          <w:sz w:val="26"/>
          <w:szCs w:val="26"/>
        </w:rPr>
        <w:t>введением ограничений на проведение мероприятий</w:t>
      </w:r>
      <w:r w:rsidRPr="007B53F2">
        <w:rPr>
          <w:bCs/>
          <w:snapToGrid w:val="0"/>
          <w:sz w:val="26"/>
          <w:szCs w:val="26"/>
        </w:rPr>
        <w:t xml:space="preserve"> (основание: п</w:t>
      </w:r>
      <w:r w:rsidRPr="007B53F2">
        <w:rPr>
          <w:bCs/>
          <w:spacing w:val="3"/>
          <w:sz w:val="26"/>
          <w:szCs w:val="26"/>
        </w:rPr>
        <w:t xml:space="preserve">остановление Главного государственного санитарного врача Российской Федерации от 13.03.2020 № 6 «О дополнительных мерах по снижению рисков распространения COVID-2019», приказ МКУ «Управление культуры, спорта и молодежной политики» </w:t>
      </w:r>
      <w:proofErr w:type="gramStart"/>
      <w:r w:rsidRPr="007B53F2">
        <w:rPr>
          <w:bCs/>
          <w:spacing w:val="3"/>
          <w:sz w:val="26"/>
          <w:szCs w:val="26"/>
        </w:rPr>
        <w:t>г</w:t>
      </w:r>
      <w:proofErr w:type="gramEnd"/>
      <w:r w:rsidRPr="007B53F2">
        <w:rPr>
          <w:bCs/>
          <w:spacing w:val="3"/>
          <w:sz w:val="26"/>
          <w:szCs w:val="26"/>
        </w:rPr>
        <w:t>. Рубцовска от 18.03.2020 № 48 «О мерах по предупреждению распространения коронавирусной инфекции»).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7B53F2">
        <w:rPr>
          <w:rFonts w:eastAsia="Calibri"/>
          <w:sz w:val="26"/>
          <w:szCs w:val="26"/>
          <w:lang w:eastAsia="ar-SA"/>
        </w:rPr>
        <w:t>Расчет относительных показателей произведен исходя из данных: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ar-SA"/>
        </w:rPr>
        <w:t>1.Д</w:t>
      </w:r>
      <w:r w:rsidRPr="007B53F2">
        <w:rPr>
          <w:rFonts w:eastAsia="Calibri"/>
          <w:sz w:val="26"/>
          <w:szCs w:val="26"/>
          <w:lang w:eastAsia="en-US"/>
        </w:rPr>
        <w:t>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собственности.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7B53F2">
        <w:rPr>
          <w:rFonts w:eastAsia="Calibri"/>
          <w:sz w:val="26"/>
          <w:szCs w:val="26"/>
          <w:lang w:eastAsia="en-US"/>
        </w:rPr>
        <w:t>Всего объектов культурного наследия, находящихся в муниципальной собственности – 10 единиц; состояние всех объектов оценивается в отчетном году как   удовлетворительное.</w:t>
      </w:r>
      <w:r w:rsidRPr="007B53F2">
        <w:rPr>
          <w:rFonts w:eastAsia="Calibri"/>
          <w:sz w:val="26"/>
          <w:szCs w:val="26"/>
          <w:lang w:eastAsia="ar-SA"/>
        </w:rPr>
        <w:t xml:space="preserve"> </w:t>
      </w:r>
      <w:r w:rsidRPr="007B53F2">
        <w:rPr>
          <w:rFonts w:eastAsia="Calibri"/>
          <w:sz w:val="26"/>
          <w:szCs w:val="26"/>
          <w:lang w:eastAsia="en-US"/>
        </w:rPr>
        <w:t>Показатель равен 100 %.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7B53F2">
        <w:rPr>
          <w:rFonts w:eastAsia="Calibri"/>
          <w:sz w:val="26"/>
          <w:szCs w:val="26"/>
          <w:lang w:eastAsia="en-US"/>
        </w:rPr>
        <w:t xml:space="preserve">2.Доля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муниципальных учреждений культуры.       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napToGrid w:val="0"/>
          <w:sz w:val="26"/>
          <w:szCs w:val="26"/>
          <w:lang w:eastAsia="en-US"/>
        </w:rPr>
        <w:t>Всего зданий учреждений культуры</w:t>
      </w:r>
      <w:r w:rsidRPr="007B53F2">
        <w:rPr>
          <w:rFonts w:eastAsia="Calibri"/>
          <w:sz w:val="26"/>
          <w:szCs w:val="26"/>
          <w:lang w:eastAsia="en-US"/>
        </w:rPr>
        <w:t xml:space="preserve"> – 20 ед.  (из них зданий учреждений культуры -11 ед., зданий библиотек – 9 ед.). Зданий, которые находятся в аварийном состоянии или требуют капитального ремонта – 2 ед. (ДК «Алтайсельмаш», ДК «Тракторостроитель»). Показатель равен 10%.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3.Доля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учреждений культуры.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Всего учреждений культуры, находящихся в муниципальной собственности – 12 ед.; учреждения культуры, состояние материально-технической базы которых является удовлетворительным – 12 ед. Показатель равен 100%.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4.Доля представленных (во всех формах) зрителю музейных предметов в общем количестве музейных предметов основного фонда учреждений музейного типа.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Количество музейных предметов основного фонда учреждений музейного типа – 30 696 ед.; Количество представленных (во всех формах) зрителю музейных предметов – 7 676 ед. Показатель равен 25, 0 %.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 xml:space="preserve">На 01.01.2022 года в городе работало 8 муниципальных учреждений культуры и 4 муниципальных учреждения дополнительного образования в отрасли культуры, подведомственных муниципальному казенному учреждению «Управление культуры, спорта и молодежной политики» города Рубцовска Алтайского края.  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В учреждениях культуры города осуществляют свою деятельность 7 заслуженных коллективов самодеятельного художественного творчества Алтайского края, 5 коллективов со званием «образцовый», 9 коллективов со званием «народный». Количество участников творческих формирований культурно-досуговых учреждений составляет 5 200 человек.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 xml:space="preserve">За отчетный год учреждениями культуры города Рубцовска проведено  более 5000  культурно-массовых мероприятий с общим числом участников 620 тыс. ед. </w:t>
      </w:r>
      <w:proofErr w:type="spellStart"/>
      <w:r w:rsidRPr="007B53F2">
        <w:rPr>
          <w:rFonts w:eastAsia="Calibri"/>
          <w:sz w:val="26"/>
          <w:szCs w:val="26"/>
          <w:lang w:eastAsia="en-US"/>
        </w:rPr>
        <w:t>человеко</w:t>
      </w:r>
      <w:proofErr w:type="spellEnd"/>
      <w:r w:rsidRPr="007B53F2">
        <w:rPr>
          <w:rFonts w:eastAsia="Calibri"/>
          <w:sz w:val="26"/>
          <w:szCs w:val="26"/>
          <w:lang w:eastAsia="en-US"/>
        </w:rPr>
        <w:t xml:space="preserve"> - посещений.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B53F2">
        <w:rPr>
          <w:rFonts w:eastAsia="Calibri"/>
          <w:sz w:val="26"/>
          <w:szCs w:val="26"/>
          <w:lang w:eastAsia="en-US"/>
        </w:rPr>
        <w:lastRenderedPageBreak/>
        <w:t>В</w:t>
      </w:r>
      <w:proofErr w:type="gramEnd"/>
      <w:r w:rsidRPr="007B53F2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7B53F2">
        <w:rPr>
          <w:rFonts w:eastAsia="Calibri"/>
          <w:sz w:val="26"/>
          <w:szCs w:val="26"/>
          <w:lang w:eastAsia="en-US"/>
        </w:rPr>
        <w:t>Рубцовском</w:t>
      </w:r>
      <w:proofErr w:type="gramEnd"/>
      <w:r w:rsidRPr="007B53F2">
        <w:rPr>
          <w:rFonts w:eastAsia="Calibri"/>
          <w:sz w:val="26"/>
          <w:szCs w:val="26"/>
          <w:lang w:eastAsia="en-US"/>
        </w:rPr>
        <w:t xml:space="preserve"> драматическом театре в 2021 году осуществлено пять новых постановок (из них одна постановка в рамках регионального проекта «Поддержка театров малых городов»), показано 177 спектаклей, которые посмотрели 29131 зритель. 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 xml:space="preserve">В театре кукол имени А.К. Брахмана также осуществлено пять новых постановок (из них 2 постановки </w:t>
      </w:r>
      <w:r w:rsidRPr="007B53F2">
        <w:rPr>
          <w:rFonts w:eastAsia="Calibri"/>
          <w:sz w:val="26"/>
          <w:szCs w:val="26"/>
          <w:shd w:val="clear" w:color="auto" w:fill="FFFFFF"/>
          <w:lang w:eastAsia="en-US"/>
        </w:rPr>
        <w:t>в рамках реализации федеральной программы поддержки творческой деятельности и технического оснащения детских и кукольных театров)</w:t>
      </w:r>
      <w:r w:rsidRPr="007B53F2">
        <w:rPr>
          <w:rFonts w:eastAsia="Calibri"/>
          <w:sz w:val="26"/>
          <w:szCs w:val="26"/>
          <w:lang w:eastAsia="en-US"/>
        </w:rPr>
        <w:t>, за год показано 170 спектаклей, число зрителей 10 800 человек.</w:t>
      </w:r>
    </w:p>
    <w:p w:rsidR="007B53F2" w:rsidRPr="007B53F2" w:rsidRDefault="007B53F2" w:rsidP="007B53F2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Читателями муниципальных библиотек являются более 28 тысяч рубцовчан (20% от общей численности населения города), в том числе 16 тысяч детей в возрасте до 14 лет. Число посещений библиотек составило 233 тыс. человеко-единиц, в библиотеках для жителей города проведено около 4  тысяч культурно-досуговых, образовательных и просветительских мероприятий. В виртуальном концертном зале состоялась 41 трансляция, посещения составили около 2,5 тыс. человек.</w:t>
      </w:r>
    </w:p>
    <w:p w:rsidR="007B53F2" w:rsidRPr="007B53F2" w:rsidRDefault="007B53F2" w:rsidP="007B53F2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Посещение городских парков (Детского парка, Парка им. С.М. Кирова) в 2021 году составило 91 800 человеко-единиц.</w:t>
      </w:r>
    </w:p>
    <w:p w:rsidR="007B53F2" w:rsidRPr="007B53F2" w:rsidRDefault="007B53F2" w:rsidP="007B53F2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 xml:space="preserve">В учреждениях дополнительного образования в сфере культуры (3 музыкальные школы, 1 </w:t>
      </w:r>
      <w:proofErr w:type="gramStart"/>
      <w:r w:rsidRPr="007B53F2">
        <w:rPr>
          <w:rFonts w:eastAsia="Calibri"/>
          <w:sz w:val="26"/>
          <w:szCs w:val="26"/>
          <w:lang w:eastAsia="en-US"/>
        </w:rPr>
        <w:t>художественная</w:t>
      </w:r>
      <w:proofErr w:type="gramEnd"/>
      <w:r w:rsidRPr="007B53F2">
        <w:rPr>
          <w:rFonts w:eastAsia="Calibri"/>
          <w:sz w:val="26"/>
          <w:szCs w:val="26"/>
          <w:lang w:eastAsia="en-US"/>
        </w:rPr>
        <w:t>) занимаются 1 200 человек. Две школы искусств являются опорными, организовывая методические мероприятия для 11 школ искусств  южной зоны Алтайского края.</w:t>
      </w:r>
    </w:p>
    <w:p w:rsidR="007B53F2" w:rsidRPr="007B53F2" w:rsidRDefault="007B53F2" w:rsidP="007B53F2">
      <w:pPr>
        <w:shd w:val="clear" w:color="auto" w:fill="FFFFFF"/>
        <w:ind w:firstLine="709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 xml:space="preserve">Для координации работы учреждений в 2021 году было подписано </w:t>
      </w:r>
      <w:r w:rsidRPr="007B53F2">
        <w:rPr>
          <w:rFonts w:eastAsia="Calibri"/>
          <w:sz w:val="26"/>
          <w:szCs w:val="26"/>
          <w:shd w:val="clear" w:color="auto" w:fill="FFFFFF"/>
          <w:lang w:eastAsia="en-US"/>
        </w:rPr>
        <w:t>16-стороннее Соглашение о взаимодействии в интересах семьи и детей. Основой для данного документа стало 14-стороннее Соглашение, подписанное социальными учреждениями краевых ведомств.</w:t>
      </w:r>
    </w:p>
    <w:p w:rsidR="007B53F2" w:rsidRPr="007B53F2" w:rsidRDefault="007B53F2" w:rsidP="007B53F2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Для расширения творческой деятельности к работе в учреждениях культуры активно привлекаются волонтеры. Всего волонтерами культуры и общественными некоммерческими организациями проведено более 130 мероприятий.</w:t>
      </w:r>
    </w:p>
    <w:p w:rsidR="007B53F2" w:rsidRPr="007B53F2" w:rsidRDefault="007B53F2" w:rsidP="007B53F2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В 2021 году 4 учреждения культуры (ДК «Алтайсельмаш», ДК «Тракторостроитель», Театр кукол имени А.К. Брахмана, Рубцовский драматический театр) стали участниками федерального проекта «Пушкинская карта», организовывая мероприятия для молодых людей в возрасте от 14 до 22 лет.</w:t>
      </w:r>
    </w:p>
    <w:p w:rsidR="007B53F2" w:rsidRPr="007B53F2" w:rsidRDefault="007B53F2" w:rsidP="007B53F2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 xml:space="preserve">Учреждения культуры активно участвуют в грантовой деятельности. Крупными мероприятиями, осуществленными на привлеченные </w:t>
      </w:r>
      <w:proofErr w:type="spellStart"/>
      <w:r w:rsidRPr="007B53F2">
        <w:rPr>
          <w:rFonts w:eastAsia="Calibri"/>
          <w:sz w:val="26"/>
          <w:szCs w:val="26"/>
          <w:lang w:eastAsia="en-US"/>
        </w:rPr>
        <w:t>грантовые</w:t>
      </w:r>
      <w:proofErr w:type="spellEnd"/>
      <w:r w:rsidRPr="007B53F2">
        <w:rPr>
          <w:rFonts w:eastAsia="Calibri"/>
          <w:sz w:val="26"/>
          <w:szCs w:val="26"/>
          <w:lang w:eastAsia="en-US"/>
        </w:rPr>
        <w:t xml:space="preserve"> средства стали цикл мероприятий с участием краевых специалистов сферы культуры «Библиотечные сезоны», постановка музыкальной оперы «Юнона и</w:t>
      </w:r>
      <w:proofErr w:type="gramStart"/>
      <w:r w:rsidRPr="007B53F2">
        <w:rPr>
          <w:rFonts w:eastAsia="Calibri"/>
          <w:sz w:val="26"/>
          <w:szCs w:val="26"/>
          <w:lang w:eastAsia="en-US"/>
        </w:rPr>
        <w:t xml:space="preserve"> А</w:t>
      </w:r>
      <w:proofErr w:type="gramEnd"/>
      <w:r w:rsidRPr="007B53F2">
        <w:rPr>
          <w:rFonts w:eastAsia="Calibri"/>
          <w:sz w:val="26"/>
          <w:szCs w:val="26"/>
          <w:lang w:eastAsia="en-US"/>
        </w:rPr>
        <w:t>вось», цикл выездных концертов «В русской песне народная жизнь» ансамбля «</w:t>
      </w:r>
      <w:proofErr w:type="spellStart"/>
      <w:r w:rsidRPr="007B53F2">
        <w:rPr>
          <w:rFonts w:eastAsia="Calibri"/>
          <w:sz w:val="26"/>
          <w:szCs w:val="26"/>
          <w:lang w:eastAsia="en-US"/>
        </w:rPr>
        <w:t>Яр-Марка</w:t>
      </w:r>
      <w:proofErr w:type="spellEnd"/>
      <w:r w:rsidRPr="007B53F2">
        <w:rPr>
          <w:rFonts w:eastAsia="Calibri"/>
          <w:sz w:val="26"/>
          <w:szCs w:val="26"/>
          <w:lang w:eastAsia="en-US"/>
        </w:rPr>
        <w:t>» и хора «На просторах Алтая».</w:t>
      </w:r>
    </w:p>
    <w:p w:rsidR="007B53F2" w:rsidRPr="007B53F2" w:rsidRDefault="007B53F2" w:rsidP="007B53F2">
      <w:pPr>
        <w:shd w:val="clear" w:color="auto" w:fill="FFFFFF"/>
        <w:ind w:firstLine="709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Город Рубцовск активно принимает участие в краевых проектах. Летом 2021 года творческая молодежная делегация города приняла участие в краевых Дельфийских играх «Вместе лучше» (</w:t>
      </w:r>
      <w:proofErr w:type="gramStart"/>
      <w:r w:rsidRPr="007B53F2">
        <w:rPr>
          <w:rFonts w:eastAsia="Calibri"/>
          <w:sz w:val="26"/>
          <w:szCs w:val="26"/>
          <w:lang w:eastAsia="en-US"/>
        </w:rPr>
        <w:t>г</w:t>
      </w:r>
      <w:proofErr w:type="gramEnd"/>
      <w:r w:rsidRPr="007B53F2">
        <w:rPr>
          <w:rFonts w:eastAsia="Calibri"/>
          <w:sz w:val="26"/>
          <w:szCs w:val="26"/>
          <w:lang w:eastAsia="en-US"/>
        </w:rPr>
        <w:t>. Славгород). Город Рубцовск подал заявку в оргкомитет по проведению Дельфийских игр на территории города Рубцовска в 2022 году. Силами специалистов учреждений культуры организовано три выездных мероприятия в рамках краевого марафона дней культуры «Соседи».</w:t>
      </w:r>
      <w:r w:rsidRPr="007B53F2">
        <w:rPr>
          <w:sz w:val="26"/>
          <w:szCs w:val="26"/>
          <w:lang w:eastAsia="en-US"/>
        </w:rPr>
        <w:t xml:space="preserve"> Творческие коллективы приняли участие в проекте «Пой, Алтай» краевого общедоступного канала «Катунь 24».</w:t>
      </w:r>
      <w:r w:rsidRPr="007B53F2">
        <w:rPr>
          <w:rFonts w:eastAsia="Calibri"/>
          <w:sz w:val="26"/>
          <w:szCs w:val="26"/>
          <w:shd w:val="clear" w:color="auto" w:fill="FFFFFF"/>
          <w:lang w:eastAsia="en-US"/>
        </w:rPr>
        <w:t xml:space="preserve"> По итогам краевого конкура </w:t>
      </w:r>
      <w:proofErr w:type="spellStart"/>
      <w:r w:rsidRPr="007B53F2">
        <w:rPr>
          <w:rFonts w:eastAsia="Calibri"/>
          <w:sz w:val="26"/>
          <w:szCs w:val="26"/>
          <w:shd w:val="clear" w:color="auto" w:fill="FFFFFF"/>
          <w:lang w:eastAsia="en-US"/>
        </w:rPr>
        <w:t>видеоконтента</w:t>
      </w:r>
      <w:proofErr w:type="spellEnd"/>
      <w:r w:rsidRPr="007B53F2">
        <w:rPr>
          <w:rFonts w:eastAsia="Calibri"/>
          <w:sz w:val="26"/>
          <w:szCs w:val="26"/>
          <w:shd w:val="clear" w:color="auto" w:fill="FFFFFF"/>
          <w:lang w:eastAsia="en-US"/>
        </w:rPr>
        <w:t xml:space="preserve"> «</w:t>
      </w:r>
      <w:proofErr w:type="spellStart"/>
      <w:r w:rsidRPr="007B53F2">
        <w:rPr>
          <w:rFonts w:eastAsia="Calibri"/>
          <w:sz w:val="26"/>
          <w:szCs w:val="26"/>
          <w:shd w:val="clear" w:color="auto" w:fill="FFFFFF"/>
          <w:lang w:eastAsia="en-US"/>
        </w:rPr>
        <w:t>Кинодебют</w:t>
      </w:r>
      <w:proofErr w:type="spellEnd"/>
      <w:r w:rsidRPr="007B53F2">
        <w:rPr>
          <w:rFonts w:eastAsia="Calibri"/>
          <w:sz w:val="26"/>
          <w:szCs w:val="26"/>
          <w:shd w:val="clear" w:color="auto" w:fill="FFFFFF"/>
          <w:lang w:eastAsia="en-US"/>
        </w:rPr>
        <w:t xml:space="preserve"> – 2021» </w:t>
      </w:r>
      <w:proofErr w:type="spellStart"/>
      <w:r w:rsidRPr="007B53F2">
        <w:rPr>
          <w:rFonts w:eastAsia="Calibri"/>
          <w:sz w:val="26"/>
          <w:szCs w:val="26"/>
          <w:shd w:val="clear" w:color="auto" w:fill="FFFFFF"/>
          <w:lang w:eastAsia="en-US"/>
        </w:rPr>
        <w:t>видеоработа</w:t>
      </w:r>
      <w:proofErr w:type="spellEnd"/>
      <w:r w:rsidRPr="007B53F2">
        <w:rPr>
          <w:rFonts w:eastAsia="Calibri"/>
          <w:sz w:val="26"/>
          <w:szCs w:val="26"/>
          <w:shd w:val="clear" w:color="auto" w:fill="FFFFFF"/>
          <w:lang w:eastAsia="en-US"/>
        </w:rPr>
        <w:t xml:space="preserve"> от города Рубцовска - клип «Красуйся, город, </w:t>
      </w:r>
      <w:r w:rsidRPr="007B53F2">
        <w:rPr>
          <w:rFonts w:eastAsia="Calibri"/>
          <w:sz w:val="26"/>
          <w:szCs w:val="26"/>
          <w:shd w:val="clear" w:color="auto" w:fill="FFFFFF"/>
          <w:lang w:eastAsia="en-US"/>
        </w:rPr>
        <w:lastRenderedPageBreak/>
        <w:t>сотни лет» творческого коллектива Театра песни «Мечта» - заняла первое место в номинации «Лучший музыкальный клип».</w:t>
      </w:r>
    </w:p>
    <w:p w:rsidR="007B53F2" w:rsidRPr="007B53F2" w:rsidRDefault="007B53F2" w:rsidP="007B53F2">
      <w:pPr>
        <w:shd w:val="clear" w:color="auto" w:fill="FFFFFF"/>
        <w:ind w:firstLine="709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7B53F2">
        <w:rPr>
          <w:rFonts w:eastAsia="Calibri"/>
          <w:sz w:val="26"/>
          <w:szCs w:val="26"/>
          <w:shd w:val="clear" w:color="auto" w:fill="FFFFFF"/>
          <w:lang w:eastAsia="en-US"/>
        </w:rPr>
        <w:t>Учреждения культуры занимаются выпуском печатной продукции: издана книга о работе Рубцовского драматического театра «Многоточие», 2 номера журнала «Браво, Рубцовск», подарочный календарь.</w:t>
      </w:r>
    </w:p>
    <w:p w:rsidR="007B53F2" w:rsidRPr="007B53F2" w:rsidRDefault="007B53F2" w:rsidP="007B53F2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 xml:space="preserve">Большое внимание уделяется работе с кадрами. </w:t>
      </w:r>
      <w:r w:rsidRPr="007B53F2">
        <w:rPr>
          <w:sz w:val="26"/>
          <w:szCs w:val="26"/>
          <w:lang w:eastAsia="en-US"/>
        </w:rPr>
        <w:t xml:space="preserve">В рамках проекта «Творческие люди» национального проекта «Культура» курсы повышения квалификации прошли 35% специалистов Библиотечной информационной системы и ряд </w:t>
      </w:r>
      <w:proofErr w:type="gramStart"/>
      <w:r w:rsidRPr="007B53F2">
        <w:rPr>
          <w:sz w:val="26"/>
          <w:szCs w:val="26"/>
          <w:lang w:eastAsia="en-US"/>
        </w:rPr>
        <w:t>специалистов иных учреждений сферы культуры города</w:t>
      </w:r>
      <w:proofErr w:type="gramEnd"/>
      <w:r w:rsidRPr="007B53F2">
        <w:rPr>
          <w:sz w:val="26"/>
          <w:szCs w:val="26"/>
          <w:lang w:eastAsia="en-US"/>
        </w:rPr>
        <w:t>.</w:t>
      </w:r>
    </w:p>
    <w:p w:rsidR="007B53F2" w:rsidRPr="007B53F2" w:rsidRDefault="007B53F2" w:rsidP="007B53F2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shd w:val="clear" w:color="auto" w:fill="FFFFFF"/>
          <w:lang w:eastAsia="en-US"/>
        </w:rPr>
        <w:t>В 2021 году в рамках реализации муниципальной программы «Формирование современной городской среды на территории муниципального образования </w:t>
      </w:r>
      <w:r w:rsidRPr="007B53F2">
        <w:rPr>
          <w:rFonts w:eastAsia="Calibri"/>
          <w:sz w:val="26"/>
          <w:lang w:eastAsia="en-US"/>
        </w:rPr>
        <w:t>город Рубцовск</w:t>
      </w:r>
      <w:r w:rsidRPr="007B53F2">
        <w:rPr>
          <w:rFonts w:eastAsia="Calibri"/>
          <w:sz w:val="26"/>
          <w:szCs w:val="26"/>
          <w:shd w:val="clear" w:color="auto" w:fill="FFFFFF"/>
          <w:lang w:eastAsia="en-US"/>
        </w:rPr>
        <w:t> </w:t>
      </w:r>
      <w:r w:rsidRPr="007B53F2">
        <w:rPr>
          <w:rFonts w:eastAsia="Calibri"/>
          <w:sz w:val="26"/>
          <w:lang w:eastAsia="en-US"/>
        </w:rPr>
        <w:t>Алтайского края</w:t>
      </w:r>
      <w:r w:rsidRPr="007B53F2">
        <w:rPr>
          <w:rFonts w:eastAsia="Calibri"/>
          <w:sz w:val="26"/>
          <w:szCs w:val="26"/>
          <w:shd w:val="clear" w:color="auto" w:fill="FFFFFF"/>
          <w:lang w:eastAsia="en-US"/>
        </w:rPr>
        <w:t xml:space="preserve">» проведена </w:t>
      </w:r>
      <w:r w:rsidRPr="007B53F2">
        <w:rPr>
          <w:sz w:val="26"/>
          <w:szCs w:val="26"/>
          <w:lang w:eastAsia="en-US"/>
        </w:rPr>
        <w:t>реконструкция и благоустройство ряда общественных территорий: открытой площадки Центральной городской библиотеки и Краеведческого музея; сквера и прилегающей территории Театра кукол имени А.К. Брахмана, Дворца культуры «Тракторостроитель». Все три объекта благоустройства были выбраны по итогам рейтингового голосования, проведенного среди жителей города Рубцовска. В сентябре 2021 года завершен ремонт фасада Театра кукол имени А.К. Брахмана.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Согласно методике оценки эффективности муниципальных программ на основе оценок по трем критериям комплексная оценка реализации данной Программы за 2021 год составила 97,3 %, что является высоким уровнем эффективности, так как входит в диапазон от 90 до 100 %.</w:t>
      </w: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B53F2" w:rsidRPr="007B53F2" w:rsidRDefault="007B53F2" w:rsidP="007B53F2">
      <w:pPr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>Начальник МКУ «Управление культуры,</w:t>
      </w:r>
    </w:p>
    <w:p w:rsidR="007B53F2" w:rsidRPr="007B53F2" w:rsidRDefault="007B53F2" w:rsidP="007B53F2">
      <w:pPr>
        <w:jc w:val="both"/>
        <w:rPr>
          <w:rFonts w:eastAsia="Calibri"/>
          <w:sz w:val="26"/>
          <w:szCs w:val="26"/>
          <w:lang w:eastAsia="en-US"/>
        </w:rPr>
      </w:pPr>
      <w:r w:rsidRPr="007B53F2">
        <w:rPr>
          <w:rFonts w:eastAsia="Calibri"/>
          <w:sz w:val="26"/>
          <w:szCs w:val="26"/>
          <w:lang w:eastAsia="en-US"/>
        </w:rPr>
        <w:t xml:space="preserve">спорта и молодежной политики» </w:t>
      </w:r>
      <w:proofErr w:type="gramStart"/>
      <w:r w:rsidRPr="007B53F2">
        <w:rPr>
          <w:rFonts w:eastAsia="Calibri"/>
          <w:sz w:val="26"/>
          <w:szCs w:val="26"/>
          <w:lang w:eastAsia="en-US"/>
        </w:rPr>
        <w:t>г</w:t>
      </w:r>
      <w:proofErr w:type="gramEnd"/>
      <w:r w:rsidRPr="007B53F2">
        <w:rPr>
          <w:rFonts w:eastAsia="Calibri"/>
          <w:sz w:val="26"/>
          <w:szCs w:val="26"/>
          <w:lang w:eastAsia="en-US"/>
        </w:rPr>
        <w:t>. Рубцовска                                       М.А. Зорина</w:t>
      </w:r>
    </w:p>
    <w:p w:rsidR="007B53F2" w:rsidRPr="007B53F2" w:rsidRDefault="007B53F2" w:rsidP="007B53F2">
      <w:pPr>
        <w:jc w:val="both"/>
        <w:rPr>
          <w:rFonts w:eastAsia="Calibri"/>
          <w:sz w:val="26"/>
          <w:szCs w:val="26"/>
          <w:lang w:eastAsia="en-US"/>
        </w:rPr>
      </w:pPr>
    </w:p>
    <w:p w:rsidR="007B53F2" w:rsidRPr="007B53F2" w:rsidRDefault="007B53F2" w:rsidP="007B53F2">
      <w:pPr>
        <w:jc w:val="both"/>
        <w:rPr>
          <w:rFonts w:eastAsia="Calibri"/>
          <w:sz w:val="26"/>
          <w:szCs w:val="26"/>
          <w:lang w:eastAsia="en-US"/>
        </w:rPr>
      </w:pPr>
    </w:p>
    <w:p w:rsidR="007B53F2" w:rsidRPr="007B53F2" w:rsidRDefault="007B53F2" w:rsidP="007B53F2">
      <w:pPr>
        <w:jc w:val="both"/>
        <w:rPr>
          <w:rFonts w:eastAsia="Calibri"/>
          <w:sz w:val="26"/>
          <w:szCs w:val="26"/>
          <w:lang w:eastAsia="en-US"/>
        </w:rPr>
      </w:pPr>
    </w:p>
    <w:p w:rsidR="007B53F2" w:rsidRPr="007B53F2" w:rsidRDefault="007B53F2" w:rsidP="007B53F2">
      <w:pPr>
        <w:jc w:val="both"/>
        <w:rPr>
          <w:rFonts w:eastAsia="Calibri"/>
          <w:sz w:val="26"/>
          <w:szCs w:val="26"/>
          <w:lang w:eastAsia="en-US"/>
        </w:rPr>
      </w:pPr>
    </w:p>
    <w:p w:rsidR="007B53F2" w:rsidRPr="007B53F2" w:rsidRDefault="007B53F2" w:rsidP="007B53F2">
      <w:pPr>
        <w:jc w:val="both"/>
        <w:rPr>
          <w:rFonts w:eastAsia="Calibri"/>
          <w:sz w:val="26"/>
          <w:szCs w:val="26"/>
          <w:lang w:eastAsia="en-US"/>
        </w:rPr>
      </w:pPr>
    </w:p>
    <w:p w:rsidR="007B53F2" w:rsidRPr="007B53F2" w:rsidRDefault="007B53F2" w:rsidP="007B53F2">
      <w:pPr>
        <w:jc w:val="both"/>
        <w:rPr>
          <w:rFonts w:eastAsia="Calibri"/>
          <w:sz w:val="26"/>
          <w:szCs w:val="26"/>
          <w:lang w:eastAsia="en-US"/>
        </w:rPr>
      </w:pPr>
    </w:p>
    <w:p w:rsidR="007B53F2" w:rsidRPr="007B53F2" w:rsidRDefault="007B53F2" w:rsidP="007B53F2">
      <w:pPr>
        <w:jc w:val="both"/>
        <w:rPr>
          <w:rFonts w:eastAsia="Calibri"/>
          <w:sz w:val="26"/>
          <w:szCs w:val="26"/>
          <w:lang w:eastAsia="en-US"/>
        </w:rPr>
      </w:pPr>
    </w:p>
    <w:p w:rsidR="007B53F2" w:rsidRPr="007B53F2" w:rsidRDefault="007B53F2" w:rsidP="007B53F2">
      <w:pPr>
        <w:jc w:val="both"/>
        <w:rPr>
          <w:rFonts w:eastAsia="Calibri"/>
          <w:sz w:val="26"/>
          <w:szCs w:val="26"/>
          <w:lang w:eastAsia="en-US"/>
        </w:rPr>
      </w:pPr>
    </w:p>
    <w:p w:rsidR="007B53F2" w:rsidRPr="007B53F2" w:rsidRDefault="007B53F2" w:rsidP="007B53F2">
      <w:pPr>
        <w:jc w:val="both"/>
        <w:rPr>
          <w:rFonts w:eastAsia="Calibri"/>
          <w:sz w:val="26"/>
          <w:szCs w:val="26"/>
          <w:lang w:eastAsia="en-US"/>
        </w:rPr>
      </w:pPr>
    </w:p>
    <w:p w:rsidR="007B53F2" w:rsidRPr="007B53F2" w:rsidRDefault="007B53F2" w:rsidP="007B53F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B53F2" w:rsidRPr="007B53F2" w:rsidRDefault="007B53F2" w:rsidP="007B53F2">
      <w:pPr>
        <w:jc w:val="both"/>
        <w:rPr>
          <w:rFonts w:eastAsia="Calibri"/>
          <w:sz w:val="22"/>
          <w:szCs w:val="22"/>
          <w:lang w:eastAsia="en-US"/>
        </w:rPr>
      </w:pPr>
      <w:r w:rsidRPr="007B53F2">
        <w:rPr>
          <w:rFonts w:eastAsia="Calibri"/>
          <w:sz w:val="22"/>
          <w:szCs w:val="22"/>
          <w:lang w:eastAsia="en-US"/>
        </w:rPr>
        <w:t>Хворостинина Марина Сергеевна</w:t>
      </w:r>
    </w:p>
    <w:p w:rsidR="007B53F2" w:rsidRPr="007B53F2" w:rsidRDefault="007B53F2" w:rsidP="007B53F2">
      <w:pPr>
        <w:jc w:val="both"/>
        <w:rPr>
          <w:rFonts w:eastAsia="Calibri"/>
          <w:sz w:val="22"/>
          <w:szCs w:val="22"/>
          <w:lang w:eastAsia="en-US"/>
        </w:rPr>
      </w:pPr>
      <w:r w:rsidRPr="007B53F2">
        <w:rPr>
          <w:rFonts w:eastAsia="Calibri"/>
          <w:sz w:val="22"/>
          <w:szCs w:val="22"/>
          <w:lang w:eastAsia="en-US"/>
        </w:rPr>
        <w:t>78-051(612)</w:t>
      </w:r>
    </w:p>
    <w:p w:rsidR="00A9187C" w:rsidRPr="007B53F2" w:rsidRDefault="00A9187C"/>
    <w:sectPr w:rsidR="00A9187C" w:rsidRPr="007B53F2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3F2"/>
    <w:rsid w:val="000033B2"/>
    <w:rsid w:val="00046D73"/>
    <w:rsid w:val="00084B92"/>
    <w:rsid w:val="00091B52"/>
    <w:rsid w:val="000B0BEA"/>
    <w:rsid w:val="000C694F"/>
    <w:rsid w:val="00192FB3"/>
    <w:rsid w:val="001C13A2"/>
    <w:rsid w:val="001C1868"/>
    <w:rsid w:val="002B529D"/>
    <w:rsid w:val="002C1F86"/>
    <w:rsid w:val="002E635F"/>
    <w:rsid w:val="0030383E"/>
    <w:rsid w:val="0032731D"/>
    <w:rsid w:val="00357FAB"/>
    <w:rsid w:val="00405972"/>
    <w:rsid w:val="0041184C"/>
    <w:rsid w:val="00473B52"/>
    <w:rsid w:val="004B0646"/>
    <w:rsid w:val="004F1B1D"/>
    <w:rsid w:val="00527F3D"/>
    <w:rsid w:val="005C7ACC"/>
    <w:rsid w:val="00613A77"/>
    <w:rsid w:val="00670CA1"/>
    <w:rsid w:val="007742E0"/>
    <w:rsid w:val="007B53F2"/>
    <w:rsid w:val="007F710B"/>
    <w:rsid w:val="008D31EB"/>
    <w:rsid w:val="009E2B79"/>
    <w:rsid w:val="009E3E3E"/>
    <w:rsid w:val="009E6A66"/>
    <w:rsid w:val="009F1121"/>
    <w:rsid w:val="00A51305"/>
    <w:rsid w:val="00A55891"/>
    <w:rsid w:val="00A667D7"/>
    <w:rsid w:val="00A9187C"/>
    <w:rsid w:val="00AA7C1F"/>
    <w:rsid w:val="00B20678"/>
    <w:rsid w:val="00BA20E2"/>
    <w:rsid w:val="00C66C96"/>
    <w:rsid w:val="00C80601"/>
    <w:rsid w:val="00CB1BF1"/>
    <w:rsid w:val="00E33169"/>
    <w:rsid w:val="00F63D94"/>
    <w:rsid w:val="00FD3DE1"/>
    <w:rsid w:val="00FF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B0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4B0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6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6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06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1C13A2"/>
    <w:rPr>
      <w:b/>
      <w:bCs/>
    </w:rPr>
  </w:style>
  <w:style w:type="paragraph" w:styleId="a5">
    <w:name w:val="No Spacing"/>
    <w:uiPriority w:val="1"/>
    <w:qFormat/>
    <w:rsid w:val="004B0646"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4B064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B06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4B06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1883</Words>
  <Characters>10734</Characters>
  <Application>Microsoft Office Word</Application>
  <DocSecurity>0</DocSecurity>
  <Lines>89</Lines>
  <Paragraphs>25</Paragraphs>
  <ScaleCrop>false</ScaleCrop>
  <Company/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1</cp:revision>
  <dcterms:created xsi:type="dcterms:W3CDTF">2022-05-05T07:52:00Z</dcterms:created>
  <dcterms:modified xsi:type="dcterms:W3CDTF">2022-05-05T07:53:00Z</dcterms:modified>
</cp:coreProperties>
</file>